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F783" w14:textId="5453D428" w:rsidR="003D35C9" w:rsidRPr="00C532ED" w:rsidRDefault="00966988" w:rsidP="009B55B2">
      <w:pPr>
        <w:pStyle w:val="Kop1"/>
      </w:pPr>
      <w:r>
        <w:t>Consulent</w:t>
      </w:r>
      <w:r w:rsidR="00BE6CA0">
        <w:t xml:space="preserve"> personeel (HR)</w:t>
      </w:r>
    </w:p>
    <w:p w14:paraId="54512E4B" w14:textId="656F142E" w:rsidR="00F4752C" w:rsidRPr="00456607" w:rsidRDefault="00F4752C" w:rsidP="00F4752C">
      <w:pPr>
        <w:spacing w:before="0" w:after="0"/>
      </w:pPr>
      <w:r w:rsidRPr="00F4752C">
        <w:rPr>
          <w:b/>
          <w:bCs/>
        </w:rPr>
        <w:t>Afdeling</w:t>
      </w:r>
      <w:r w:rsidRPr="00456607">
        <w:tab/>
      </w:r>
      <w:r w:rsidRPr="00456607">
        <w:tab/>
      </w:r>
      <w:r w:rsidR="00DA5CDC">
        <w:t>Interne dienstverlening</w:t>
      </w:r>
      <w:r w:rsidRPr="00456607">
        <w:t xml:space="preserve"> </w:t>
      </w:r>
    </w:p>
    <w:p w14:paraId="4969CBF6" w14:textId="4540327A" w:rsidR="00F4752C" w:rsidRPr="00456607" w:rsidRDefault="00F4752C" w:rsidP="00F4752C">
      <w:pPr>
        <w:spacing w:before="0" w:after="0"/>
      </w:pPr>
      <w:r w:rsidRPr="00F4752C">
        <w:rPr>
          <w:b/>
          <w:bCs/>
        </w:rPr>
        <w:t>Leidinggevende</w:t>
      </w:r>
      <w:r>
        <w:tab/>
      </w:r>
      <w:r w:rsidR="00DA5CDC">
        <w:t xml:space="preserve">Diensthoofd </w:t>
      </w:r>
      <w:r w:rsidR="006A6BE1">
        <w:t>personeel</w:t>
      </w:r>
    </w:p>
    <w:p w14:paraId="11999CCA" w14:textId="0B500C19" w:rsidR="00F4752C" w:rsidRPr="00456607" w:rsidRDefault="00F4752C" w:rsidP="00F4752C">
      <w:pPr>
        <w:spacing w:before="0" w:after="0"/>
      </w:pPr>
      <w:r w:rsidRPr="00F4752C">
        <w:rPr>
          <w:b/>
          <w:bCs/>
        </w:rPr>
        <w:t>Type functie</w:t>
      </w:r>
      <w:r w:rsidRPr="00456607">
        <w:tab/>
      </w:r>
      <w:r w:rsidRPr="00456607">
        <w:tab/>
      </w:r>
      <w:r w:rsidR="00DA5CDC">
        <w:t>Expert</w:t>
      </w:r>
    </w:p>
    <w:p w14:paraId="4D20BA23" w14:textId="7D755720" w:rsidR="00F4752C" w:rsidRPr="00456607" w:rsidRDefault="00F4752C" w:rsidP="00F4752C">
      <w:pPr>
        <w:spacing w:before="0" w:after="360"/>
      </w:pPr>
      <w:r w:rsidRPr="00F4752C">
        <w:rPr>
          <w:b/>
          <w:bCs/>
        </w:rPr>
        <w:t>Weddeschaal</w:t>
      </w:r>
      <w:r w:rsidRPr="00456607">
        <w:tab/>
      </w:r>
      <w:r>
        <w:tab/>
      </w:r>
      <w:r w:rsidR="00C24670">
        <w:t>Goudenaarde 40</w:t>
      </w:r>
      <w:r w:rsidR="004472C7">
        <w:t>5</w:t>
      </w:r>
    </w:p>
    <w:p w14:paraId="4C740BC3" w14:textId="7FCB4921" w:rsidR="003D35C9" w:rsidRPr="00C532ED" w:rsidRDefault="006569DE" w:rsidP="00C532ED">
      <w:pPr>
        <w:pStyle w:val="Kop2"/>
      </w:pPr>
      <w:r>
        <w:t>Functiebeschrijving</w:t>
      </w:r>
    </w:p>
    <w:p w14:paraId="117B376F" w14:textId="77777777" w:rsidR="00FA3CD2" w:rsidRPr="00FA3CD2" w:rsidRDefault="00FA3CD2" w:rsidP="00FA3CD2">
      <w:pPr>
        <w:pStyle w:val="Kop3"/>
      </w:pPr>
      <w:r w:rsidRPr="00FA3CD2">
        <w:t>Doel van de functie</w:t>
      </w:r>
    </w:p>
    <w:p w14:paraId="4502915C" w14:textId="5F4327FF" w:rsidR="00750E00" w:rsidRPr="00750E00" w:rsidRDefault="00750E00" w:rsidP="00750E00">
      <w:pPr>
        <w:rPr>
          <w:lang w:val="nl-BE"/>
        </w:rPr>
      </w:pPr>
      <w:r w:rsidRPr="00750E00">
        <w:rPr>
          <w:lang w:val="nl-BE"/>
        </w:rPr>
        <w:t xml:space="preserve">Als consulent </w:t>
      </w:r>
      <w:r w:rsidR="00BE6CA0">
        <w:rPr>
          <w:lang w:val="nl-BE"/>
        </w:rPr>
        <w:t xml:space="preserve">personeel - </w:t>
      </w:r>
      <w:r w:rsidRPr="00750E00">
        <w:rPr>
          <w:lang w:val="nl-BE"/>
        </w:rPr>
        <w:t>HR ben je de strategische HR-partner voor jouw klantengroep. Je ondersteunt leidinggevenden bij HR-gerelateerde vraagstukken en werkt proactief aan de optimalisatie van HR-processen. Door jouw expertise in personeelsplanning, beleidsmatige en procesmatige HR-projecten zorg je voor een efficiënte en uniforme HR-aanpak. Je fungeert als schakel tussen de organisatie en haar medewerkers en draagt bij aan een mensgericht en toekomstbestendig HR-beleid.</w:t>
      </w:r>
    </w:p>
    <w:p w14:paraId="0E8F3D3C" w14:textId="4392ABE9" w:rsidR="00750E00" w:rsidRPr="00750E00" w:rsidRDefault="00750E00" w:rsidP="00750E00">
      <w:pPr>
        <w:rPr>
          <w:lang w:val="nl-BE"/>
        </w:rPr>
      </w:pPr>
      <w:r w:rsidRPr="00750E00">
        <w:rPr>
          <w:lang w:val="nl-BE"/>
        </w:rPr>
        <w:t>Concreet:</w:t>
      </w:r>
    </w:p>
    <w:p w14:paraId="282CCCDD" w14:textId="77777777" w:rsidR="00750E00" w:rsidRPr="00750E00" w:rsidRDefault="00750E00" w:rsidP="00750E00">
      <w:pPr>
        <w:pStyle w:val="Lijstalinea"/>
        <w:numPr>
          <w:ilvl w:val="0"/>
          <w:numId w:val="38"/>
        </w:numPr>
        <w:rPr>
          <w:lang w:val="nl-BE"/>
        </w:rPr>
      </w:pPr>
      <w:r w:rsidRPr="00750E00">
        <w:rPr>
          <w:lang w:val="nl-BE"/>
        </w:rPr>
        <w:t>SPOC voor leidinggevenden: Je bent het eerste aanspreekpunt voor leidinggevenden bij HR-gerelateerde vragen en ondersteunt hen bij personeelsmanagement.</w:t>
      </w:r>
    </w:p>
    <w:p w14:paraId="59BBF840" w14:textId="251AFF85" w:rsidR="00750E00" w:rsidRPr="00750E00" w:rsidRDefault="00750E00" w:rsidP="00750E00">
      <w:pPr>
        <w:pStyle w:val="Lijstalinea"/>
        <w:numPr>
          <w:ilvl w:val="0"/>
          <w:numId w:val="38"/>
        </w:numPr>
        <w:rPr>
          <w:lang w:val="nl-BE"/>
        </w:rPr>
      </w:pPr>
      <w:r w:rsidRPr="00750E00">
        <w:rPr>
          <w:lang w:val="nl-BE"/>
        </w:rPr>
        <w:t xml:space="preserve">Projectleiding beleidsmatige HR-projecten: Je leidt en implementeert HR-beleid rond </w:t>
      </w:r>
      <w:r>
        <w:rPr>
          <w:lang w:val="nl-BE"/>
        </w:rPr>
        <w:t xml:space="preserve">diverse thema’s zoals </w:t>
      </w:r>
      <w:r w:rsidRPr="00750E00">
        <w:rPr>
          <w:lang w:val="nl-BE"/>
        </w:rPr>
        <w:t>onthaal, vorming, exit, permanentie</w:t>
      </w:r>
      <w:r>
        <w:rPr>
          <w:lang w:val="nl-BE"/>
        </w:rPr>
        <w:t xml:space="preserve"> &amp; </w:t>
      </w:r>
      <w:r w:rsidRPr="00750E00">
        <w:rPr>
          <w:lang w:val="nl-BE"/>
        </w:rPr>
        <w:t>verstoring</w:t>
      </w:r>
      <w:r>
        <w:rPr>
          <w:lang w:val="nl-BE"/>
        </w:rPr>
        <w:t>, ..</w:t>
      </w:r>
      <w:r w:rsidRPr="00750E00">
        <w:rPr>
          <w:lang w:val="nl-BE"/>
        </w:rPr>
        <w:t>.</w:t>
      </w:r>
    </w:p>
    <w:p w14:paraId="1B2F9169" w14:textId="77777777" w:rsidR="00750E00" w:rsidRPr="00750E00" w:rsidRDefault="00750E00" w:rsidP="00750E00">
      <w:pPr>
        <w:pStyle w:val="Lijstalinea"/>
        <w:numPr>
          <w:ilvl w:val="0"/>
          <w:numId w:val="38"/>
        </w:numPr>
        <w:rPr>
          <w:lang w:val="nl-BE"/>
        </w:rPr>
      </w:pPr>
      <w:r w:rsidRPr="00750E00">
        <w:rPr>
          <w:lang w:val="nl-BE"/>
        </w:rPr>
        <w:t>Projectleiding procesmatige HR-projecten: Je optimaliseert en stroomlijnt HR-processen om efficiëntie en uniformiteit te garanderen.</w:t>
      </w:r>
    </w:p>
    <w:p w14:paraId="0AEA1AAD" w14:textId="2B684DC9" w:rsidR="00750E00" w:rsidRPr="00750E00" w:rsidRDefault="00750E00" w:rsidP="00750E00">
      <w:pPr>
        <w:pStyle w:val="Lijstalinea"/>
        <w:numPr>
          <w:ilvl w:val="0"/>
          <w:numId w:val="38"/>
        </w:numPr>
        <w:rPr>
          <w:lang w:val="nl-BE"/>
        </w:rPr>
      </w:pPr>
      <w:r w:rsidRPr="00750E00">
        <w:rPr>
          <w:lang w:val="nl-BE"/>
        </w:rPr>
        <w:t xml:space="preserve">Besluitvorming: Je </w:t>
      </w:r>
      <w:r>
        <w:rPr>
          <w:lang w:val="nl-BE"/>
        </w:rPr>
        <w:t>verzorgt</w:t>
      </w:r>
      <w:r w:rsidRPr="00750E00">
        <w:rPr>
          <w:lang w:val="nl-BE"/>
        </w:rPr>
        <w:t xml:space="preserve"> niet-periodieke beslissingen en ondersteunt het management met HR-analyses en adviezen.</w:t>
      </w:r>
    </w:p>
    <w:p w14:paraId="520E14CC" w14:textId="3DA883CA" w:rsidR="00750E00" w:rsidRPr="00750E00" w:rsidRDefault="00750E00" w:rsidP="00750E00">
      <w:pPr>
        <w:pStyle w:val="Lijstalinea"/>
        <w:numPr>
          <w:ilvl w:val="0"/>
          <w:numId w:val="38"/>
        </w:numPr>
        <w:rPr>
          <w:lang w:val="nl-BE"/>
        </w:rPr>
      </w:pPr>
      <w:r w:rsidRPr="00750E00">
        <w:rPr>
          <w:lang w:val="nl-BE"/>
        </w:rPr>
        <w:t xml:space="preserve">Exitgesprekken: Je voert exitgesprekken en analyseert feedback om </w:t>
      </w:r>
      <w:r>
        <w:rPr>
          <w:lang w:val="nl-BE"/>
        </w:rPr>
        <w:t xml:space="preserve">het </w:t>
      </w:r>
      <w:r w:rsidRPr="00750E00">
        <w:rPr>
          <w:lang w:val="nl-BE"/>
        </w:rPr>
        <w:t>HR-beleid verder te verbeteren.</w:t>
      </w:r>
    </w:p>
    <w:p w14:paraId="0140A790" w14:textId="77777777" w:rsidR="00750E00" w:rsidRPr="00750E00" w:rsidRDefault="00750E00" w:rsidP="00750E00">
      <w:pPr>
        <w:pStyle w:val="Lijstalinea"/>
        <w:numPr>
          <w:ilvl w:val="0"/>
          <w:numId w:val="38"/>
        </w:numPr>
        <w:rPr>
          <w:lang w:val="nl-BE"/>
        </w:rPr>
      </w:pPr>
      <w:r w:rsidRPr="00750E00">
        <w:rPr>
          <w:lang w:val="nl-BE"/>
        </w:rPr>
        <w:t>Personeelsplanning: Je zorgt voor een strategische personeelsplanning en adviseert over in- en uitstroom van medewerkers.</w:t>
      </w:r>
    </w:p>
    <w:p w14:paraId="2868DD6F" w14:textId="77777777" w:rsidR="00750E00" w:rsidRDefault="00750E00" w:rsidP="00750E00">
      <w:pPr>
        <w:pStyle w:val="Lijstalinea"/>
        <w:numPr>
          <w:ilvl w:val="0"/>
          <w:numId w:val="38"/>
        </w:numPr>
        <w:rPr>
          <w:lang w:val="nl-BE"/>
        </w:rPr>
      </w:pPr>
      <w:r w:rsidRPr="00750E00">
        <w:rPr>
          <w:lang w:val="nl-BE"/>
        </w:rPr>
        <w:t>Functiebeschrijvingen: Je stelt functiebeschrijvingen op en houdt deze up-to-date in lijn met de organisatiebehoeften.</w:t>
      </w:r>
    </w:p>
    <w:p w14:paraId="47AFA905" w14:textId="5A26ED64" w:rsidR="008816E8" w:rsidRPr="0001697E" w:rsidRDefault="0001697E" w:rsidP="00750E00">
      <w:pPr>
        <w:pStyle w:val="Lijstalinea"/>
        <w:numPr>
          <w:ilvl w:val="0"/>
          <w:numId w:val="38"/>
        </w:numPr>
        <w:rPr>
          <w:lang w:val="nl-BE"/>
        </w:rPr>
      </w:pPr>
      <w:r w:rsidRPr="0001697E">
        <w:t>Re-integratietrajecten (RIT): Je begeleidt medewerkers bij hun terugkeer naar het werk en stemt af met alle betrokken partijen.</w:t>
      </w:r>
    </w:p>
    <w:p w14:paraId="6D76FC2A" w14:textId="38D5D8D4" w:rsidR="00CC5268" w:rsidRDefault="00D13CAD" w:rsidP="00DF2B40">
      <w:pPr>
        <w:pStyle w:val="Lijstalinea"/>
        <w:numPr>
          <w:ilvl w:val="0"/>
          <w:numId w:val="38"/>
        </w:numPr>
      </w:pPr>
      <w:r w:rsidRPr="00D13CAD">
        <w:rPr>
          <w:lang w:val="nl-BE"/>
        </w:rPr>
        <w:t>R</w:t>
      </w:r>
      <w:r w:rsidR="00750E00" w:rsidRPr="00D13CAD">
        <w:rPr>
          <w:lang w:val="nl-BE"/>
        </w:rPr>
        <w:t>apportering: Je beheert en analyseert HR-data en levert input voor rapporteringen</w:t>
      </w:r>
      <w:r>
        <w:rPr>
          <w:lang w:val="nl-BE"/>
        </w:rPr>
        <w:t xml:space="preserve">. </w:t>
      </w:r>
    </w:p>
    <w:p w14:paraId="4F8BD7FB" w14:textId="26471B65" w:rsidR="004B1564" w:rsidRPr="00D05FCC" w:rsidRDefault="004B1564" w:rsidP="006A6BE1">
      <w:r>
        <w:t xml:space="preserve">Je ondersteunt het diensthoofd bij algemene personeelsvraagstukken, bij de uitvoering van (nieuwe) projecten en de implementatie ervan en zorgt voor een juiste en tijdige communicatie en terugkoppeling aan de interne stadsdiensten. </w:t>
      </w:r>
    </w:p>
    <w:p w14:paraId="5DB51DC8" w14:textId="77777777" w:rsidR="00FA3CD2" w:rsidRDefault="00FA3CD2" w:rsidP="00FA3CD2">
      <w:pPr>
        <w:pStyle w:val="Kop3"/>
      </w:pPr>
      <w:r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0419548A" w:rsidR="003D0915" w:rsidRPr="003D0915" w:rsidRDefault="00281F43"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281F43" w:rsidRPr="003D0915" w14:paraId="53B30929" w14:textId="77777777" w:rsidTr="00733426">
        <w:tc>
          <w:tcPr>
            <w:tcW w:w="2689" w:type="dxa"/>
          </w:tcPr>
          <w:p w14:paraId="255D996B" w14:textId="70A8CCF7" w:rsidR="00281F43" w:rsidRPr="003D0915" w:rsidRDefault="00281F43" w:rsidP="00281F43">
            <w:pPr>
              <w:spacing w:before="0"/>
              <w:rPr>
                <w:b/>
                <w:bCs/>
              </w:rPr>
            </w:pPr>
            <w:r>
              <w:rPr>
                <w:b/>
                <w:bCs/>
              </w:rPr>
              <w:t>Adviseren</w:t>
            </w:r>
          </w:p>
        </w:tc>
        <w:tc>
          <w:tcPr>
            <w:tcW w:w="7190" w:type="dxa"/>
          </w:tcPr>
          <w:p w14:paraId="12D36AC0" w14:textId="3E842F92" w:rsidR="00281F43" w:rsidRPr="003D0915" w:rsidRDefault="00281F43" w:rsidP="00281F43">
            <w:pPr>
              <w:spacing w:before="0"/>
            </w:pPr>
            <w:r>
              <w:t xml:space="preserve">Anderen zowel binnen als buiten de organisatie op basis van eigen expertise en inzichten op maat advies kunnen verstrekken. Hierbij de belangen van de organisatie voorop stellen, een objectieve houding weerspiegelen, standpunten durven innemen en naar anderen toe geloofwaardigheid genereren als persoon en als inhoudelijk expert. </w:t>
            </w:r>
          </w:p>
        </w:tc>
      </w:tr>
      <w:tr w:rsidR="00281F43" w:rsidRPr="003D0915" w14:paraId="7B31B972" w14:textId="77777777" w:rsidTr="00733426">
        <w:tc>
          <w:tcPr>
            <w:tcW w:w="2689" w:type="dxa"/>
          </w:tcPr>
          <w:p w14:paraId="167359B1" w14:textId="1B83196C" w:rsidR="00281F43" w:rsidRPr="003D0915" w:rsidRDefault="00281F43" w:rsidP="00281F43">
            <w:pPr>
              <w:spacing w:before="0"/>
              <w:rPr>
                <w:b/>
                <w:bCs/>
              </w:rPr>
            </w:pPr>
            <w:r>
              <w:rPr>
                <w:b/>
                <w:bCs/>
              </w:rPr>
              <w:lastRenderedPageBreak/>
              <w:t>Effectief communiceren</w:t>
            </w:r>
            <w:r w:rsidRPr="003D0915">
              <w:rPr>
                <w:b/>
                <w:bCs/>
              </w:rPr>
              <w:t xml:space="preserve"> </w:t>
            </w:r>
          </w:p>
        </w:tc>
        <w:tc>
          <w:tcPr>
            <w:tcW w:w="7190" w:type="dxa"/>
          </w:tcPr>
          <w:p w14:paraId="62448F13" w14:textId="1856AE6C" w:rsidR="00281F43" w:rsidRPr="003D0915" w:rsidRDefault="00281F43" w:rsidP="00281F43">
            <w:pPr>
              <w:spacing w:before="0"/>
            </w:pPr>
            <w:r>
              <w:t>Op een gestructureerde en synthetische wijze een boodschap aan een groep overbrengen en hen vanuit de eigen expertise adviseren. De wijze van communiceren succesvol aanpassen aan de doelgroep.</w:t>
            </w:r>
          </w:p>
        </w:tc>
      </w:tr>
      <w:tr w:rsidR="00281F43" w:rsidRPr="003D0915" w14:paraId="3F79A02C" w14:textId="77777777" w:rsidTr="00733426">
        <w:tc>
          <w:tcPr>
            <w:tcW w:w="2689" w:type="dxa"/>
          </w:tcPr>
          <w:p w14:paraId="354E537D" w14:textId="18D32E6A" w:rsidR="00281F43" w:rsidRPr="003D0915" w:rsidRDefault="00281F43" w:rsidP="00281F43">
            <w:pPr>
              <w:spacing w:before="0"/>
              <w:rPr>
                <w:b/>
                <w:bCs/>
              </w:rPr>
            </w:pPr>
            <w:r>
              <w:rPr>
                <w:b/>
                <w:bCs/>
              </w:rPr>
              <w:t>Creatief denken</w:t>
            </w:r>
          </w:p>
        </w:tc>
        <w:tc>
          <w:tcPr>
            <w:tcW w:w="7190" w:type="dxa"/>
          </w:tcPr>
          <w:p w14:paraId="18E5B5BC" w14:textId="6D720A4F" w:rsidR="00281F43" w:rsidRPr="003D0915" w:rsidRDefault="00281F43" w:rsidP="00281F43">
            <w:pPr>
              <w:spacing w:before="0"/>
            </w:pPr>
            <w:r>
              <w:t xml:space="preserve">Het bestaande en vertrouwde overstijgen via het aanbrengen van originele ideeën. </w:t>
            </w:r>
          </w:p>
        </w:tc>
      </w:tr>
      <w:tr w:rsidR="00281F43" w:rsidRPr="003D0915" w14:paraId="44002429" w14:textId="77777777" w:rsidTr="00733426">
        <w:tc>
          <w:tcPr>
            <w:tcW w:w="2689" w:type="dxa"/>
          </w:tcPr>
          <w:p w14:paraId="788AA645" w14:textId="7CED2D1F" w:rsidR="00281F43" w:rsidRDefault="00281F43" w:rsidP="00281F43">
            <w:pPr>
              <w:spacing w:before="0"/>
              <w:rPr>
                <w:b/>
                <w:bCs/>
              </w:rPr>
            </w:pPr>
            <w:r>
              <w:rPr>
                <w:b/>
                <w:bCs/>
              </w:rPr>
              <w:t>Project- en procesmanagement</w:t>
            </w:r>
          </w:p>
        </w:tc>
        <w:tc>
          <w:tcPr>
            <w:tcW w:w="7190" w:type="dxa"/>
          </w:tcPr>
          <w:p w14:paraId="7A199F45" w14:textId="613989CF" w:rsidR="00281F43" w:rsidRDefault="00281F43" w:rsidP="00281F43">
            <w:pPr>
              <w:spacing w:before="0"/>
            </w:pPr>
            <w:r>
              <w:t xml:space="preserve">Complexe opdrachten structureren, rekening houdende met deadlines en doelstellingen. Hierbij rekening houdend met mijlpalen. Projectmedewerkers op een gestructureerde en planmatige wijze opvolgen en sturen. Op regelmatige wijze de voortgang communiceren naar de opdrachtgever. </w:t>
            </w:r>
          </w:p>
        </w:tc>
      </w:tr>
      <w:tr w:rsidR="00281F43" w:rsidRPr="003D0915" w14:paraId="6665E4D1" w14:textId="77777777" w:rsidTr="00733426">
        <w:tc>
          <w:tcPr>
            <w:tcW w:w="2689" w:type="dxa"/>
          </w:tcPr>
          <w:p w14:paraId="16593BE5" w14:textId="6E434BCB" w:rsidR="00281F43" w:rsidRDefault="00281F43" w:rsidP="00281F43">
            <w:pPr>
              <w:spacing w:before="0"/>
              <w:rPr>
                <w:b/>
                <w:bCs/>
              </w:rPr>
            </w:pPr>
            <w:r>
              <w:rPr>
                <w:b/>
                <w:bCs/>
              </w:rPr>
              <w:t>Oordeelsvorming</w:t>
            </w:r>
          </w:p>
        </w:tc>
        <w:tc>
          <w:tcPr>
            <w:tcW w:w="7190" w:type="dxa"/>
          </w:tcPr>
          <w:p w14:paraId="785B6CB2" w14:textId="14DCA6D8" w:rsidR="00281F43" w:rsidRDefault="00281F43" w:rsidP="00281F43">
            <w:pPr>
              <w:spacing w:before="0"/>
            </w:pPr>
            <w:r>
              <w:t>Op basis van de beschikbare informatie een objectief onderbouwd beeld vormen over een bepaalde situatie of persoon.</w:t>
            </w:r>
          </w:p>
        </w:tc>
      </w:tr>
      <w:tr w:rsidR="00281F43" w:rsidRPr="003D0915" w14:paraId="4C375AF5" w14:textId="77777777" w:rsidTr="00733426">
        <w:tc>
          <w:tcPr>
            <w:tcW w:w="2689" w:type="dxa"/>
          </w:tcPr>
          <w:p w14:paraId="4597EC89" w14:textId="58C16C44" w:rsidR="00281F43" w:rsidRDefault="00281F43" w:rsidP="00281F43">
            <w:pPr>
              <w:spacing w:before="0"/>
              <w:rPr>
                <w:b/>
                <w:bCs/>
              </w:rPr>
            </w:pPr>
            <w:r>
              <w:rPr>
                <w:b/>
                <w:bCs/>
              </w:rPr>
              <w:t>Initiatief nemen</w:t>
            </w:r>
          </w:p>
        </w:tc>
        <w:tc>
          <w:tcPr>
            <w:tcW w:w="7190" w:type="dxa"/>
          </w:tcPr>
          <w:p w14:paraId="705A1DD5" w14:textId="37904D8C" w:rsidR="00281F43" w:rsidRDefault="00281F43" w:rsidP="00281F43">
            <w:pPr>
              <w:spacing w:before="0"/>
            </w:pPr>
            <w:r>
              <w:t xml:space="preserve">Zich proactief en positief-kritisch opstellen ten aanzien van de werkprocessen en taken. Regelmatig kansen zien liggen om de functie en taken beter uit te voeren en deze opportuniteiten met beide handen aangrijpen. Over deze initiatieven op de gepaste wijze communiceren.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Deze opsomming heeft dus geenszins de intentie om volledig te zijn. De functie kan dus ook 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11"/>
      <w:headerReference w:type="first" r:id="rId12"/>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6DC6" w14:textId="77777777" w:rsidR="008036D8" w:rsidRDefault="008036D8" w:rsidP="00C532ED">
      <w:r>
        <w:separator/>
      </w:r>
    </w:p>
    <w:p w14:paraId="426CEA05" w14:textId="77777777" w:rsidR="008036D8" w:rsidRDefault="008036D8" w:rsidP="00C532ED"/>
  </w:endnote>
  <w:endnote w:type="continuationSeparator" w:id="0">
    <w:p w14:paraId="1990F387" w14:textId="77777777" w:rsidR="008036D8" w:rsidRDefault="008036D8" w:rsidP="00C532ED">
      <w:r>
        <w:continuationSeparator/>
      </w:r>
    </w:p>
    <w:p w14:paraId="68DB2EB3" w14:textId="77777777" w:rsidR="008036D8" w:rsidRDefault="008036D8"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2C69" w14:textId="77777777" w:rsidR="008036D8" w:rsidRDefault="008036D8" w:rsidP="00C532ED">
      <w:r>
        <w:separator/>
      </w:r>
    </w:p>
    <w:p w14:paraId="7D79A9F5" w14:textId="77777777" w:rsidR="008036D8" w:rsidRDefault="008036D8" w:rsidP="00C532ED"/>
  </w:footnote>
  <w:footnote w:type="continuationSeparator" w:id="0">
    <w:p w14:paraId="4A1794E5" w14:textId="77777777" w:rsidR="008036D8" w:rsidRDefault="008036D8" w:rsidP="00C532ED">
      <w:r>
        <w:continuationSeparator/>
      </w:r>
    </w:p>
    <w:p w14:paraId="05B7F627" w14:textId="77777777" w:rsidR="008036D8" w:rsidRDefault="008036D8"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1017B"/>
    <w:multiLevelType w:val="hybridMultilevel"/>
    <w:tmpl w:val="3980544C"/>
    <w:lvl w:ilvl="0" w:tplc="6BF8604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370B7"/>
    <w:multiLevelType w:val="hybridMultilevel"/>
    <w:tmpl w:val="A3BE33A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36152B"/>
    <w:multiLevelType w:val="hybridMultilevel"/>
    <w:tmpl w:val="F850D80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D623C8"/>
    <w:multiLevelType w:val="hybridMultilevel"/>
    <w:tmpl w:val="F23EE8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F25FB2"/>
    <w:multiLevelType w:val="hybridMultilevel"/>
    <w:tmpl w:val="D99E2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99D0342"/>
    <w:multiLevelType w:val="hybridMultilevel"/>
    <w:tmpl w:val="6B10AC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15F0B1E"/>
    <w:multiLevelType w:val="hybridMultilevel"/>
    <w:tmpl w:val="6CEAC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10D7805"/>
    <w:multiLevelType w:val="hybridMultilevel"/>
    <w:tmpl w:val="76DC76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7601EFB"/>
    <w:multiLevelType w:val="multilevel"/>
    <w:tmpl w:val="62B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5036F"/>
    <w:multiLevelType w:val="hybridMultilevel"/>
    <w:tmpl w:val="C5EC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A2D0268"/>
    <w:multiLevelType w:val="hybridMultilevel"/>
    <w:tmpl w:val="DC9CC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802A2E"/>
    <w:multiLevelType w:val="hybridMultilevel"/>
    <w:tmpl w:val="C8A63B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6F95"/>
    <w:multiLevelType w:val="hybridMultilevel"/>
    <w:tmpl w:val="379E1A60"/>
    <w:lvl w:ilvl="0" w:tplc="E16EFD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4"/>
  </w:num>
  <w:num w:numId="3" w16cid:durableId="1518813696">
    <w:abstractNumId w:val="0"/>
  </w:num>
  <w:num w:numId="4" w16cid:durableId="1523974976">
    <w:abstractNumId w:val="21"/>
  </w:num>
  <w:num w:numId="5" w16cid:durableId="992178629">
    <w:abstractNumId w:val="15"/>
  </w:num>
  <w:num w:numId="6" w16cid:durableId="1234659770">
    <w:abstractNumId w:val="25"/>
  </w:num>
  <w:num w:numId="7" w16cid:durableId="928270282">
    <w:abstractNumId w:val="5"/>
  </w:num>
  <w:num w:numId="8" w16cid:durableId="13775268">
    <w:abstractNumId w:val="37"/>
  </w:num>
  <w:num w:numId="9" w16cid:durableId="725494132">
    <w:abstractNumId w:val="35"/>
  </w:num>
  <w:num w:numId="10" w16cid:durableId="1107386574">
    <w:abstractNumId w:val="16"/>
  </w:num>
  <w:num w:numId="11" w16cid:durableId="299270127">
    <w:abstractNumId w:val="33"/>
  </w:num>
  <w:num w:numId="12" w16cid:durableId="887255620">
    <w:abstractNumId w:val="13"/>
  </w:num>
  <w:num w:numId="13" w16cid:durableId="1919972404">
    <w:abstractNumId w:val="10"/>
  </w:num>
  <w:num w:numId="14" w16cid:durableId="1322081998">
    <w:abstractNumId w:val="17"/>
  </w:num>
  <w:num w:numId="15" w16cid:durableId="1750809731">
    <w:abstractNumId w:val="11"/>
  </w:num>
  <w:num w:numId="16" w16cid:durableId="1973825967">
    <w:abstractNumId w:val="27"/>
  </w:num>
  <w:num w:numId="17" w16cid:durableId="1279529554">
    <w:abstractNumId w:val="28"/>
  </w:num>
  <w:num w:numId="18" w16cid:durableId="784930387">
    <w:abstractNumId w:val="20"/>
  </w:num>
  <w:num w:numId="19" w16cid:durableId="2036537541">
    <w:abstractNumId w:val="12"/>
  </w:num>
  <w:num w:numId="20" w16cid:durableId="2099447004">
    <w:abstractNumId w:val="6"/>
  </w:num>
  <w:num w:numId="21" w16cid:durableId="1903952596">
    <w:abstractNumId w:val="23"/>
  </w:num>
  <w:num w:numId="22" w16cid:durableId="1808550186">
    <w:abstractNumId w:val="8"/>
  </w:num>
  <w:num w:numId="23" w16cid:durableId="1290168497">
    <w:abstractNumId w:val="29"/>
  </w:num>
  <w:num w:numId="24" w16cid:durableId="1123117730">
    <w:abstractNumId w:val="26"/>
  </w:num>
  <w:num w:numId="25" w16cid:durableId="1078212065">
    <w:abstractNumId w:val="31"/>
  </w:num>
  <w:num w:numId="26" w16cid:durableId="441801634">
    <w:abstractNumId w:val="22"/>
  </w:num>
  <w:num w:numId="27" w16cid:durableId="1567259525">
    <w:abstractNumId w:val="2"/>
  </w:num>
  <w:num w:numId="28" w16cid:durableId="1755198169">
    <w:abstractNumId w:val="34"/>
  </w:num>
  <w:num w:numId="29" w16cid:durableId="2139954150">
    <w:abstractNumId w:val="36"/>
  </w:num>
  <w:num w:numId="30" w16cid:durableId="1800491795">
    <w:abstractNumId w:val="4"/>
  </w:num>
  <w:num w:numId="31" w16cid:durableId="1674726365">
    <w:abstractNumId w:val="19"/>
  </w:num>
  <w:num w:numId="32" w16cid:durableId="1370955153">
    <w:abstractNumId w:val="32"/>
  </w:num>
  <w:num w:numId="33" w16cid:durableId="82724032">
    <w:abstractNumId w:val="3"/>
  </w:num>
  <w:num w:numId="34" w16cid:durableId="1199707767">
    <w:abstractNumId w:val="7"/>
  </w:num>
  <w:num w:numId="35" w16cid:durableId="1457482213">
    <w:abstractNumId w:val="18"/>
  </w:num>
  <w:num w:numId="36" w16cid:durableId="81294521">
    <w:abstractNumId w:val="24"/>
  </w:num>
  <w:num w:numId="37" w16cid:durableId="937442790">
    <w:abstractNumId w:val="30"/>
  </w:num>
  <w:num w:numId="38" w16cid:durableId="290597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1697E"/>
    <w:rsid w:val="00023A92"/>
    <w:rsid w:val="000462C1"/>
    <w:rsid w:val="000E31E4"/>
    <w:rsid w:val="000E7C2D"/>
    <w:rsid w:val="00154F7B"/>
    <w:rsid w:val="0018464C"/>
    <w:rsid w:val="001E4C40"/>
    <w:rsid w:val="00256B68"/>
    <w:rsid w:val="00271A78"/>
    <w:rsid w:val="00281F43"/>
    <w:rsid w:val="003A420B"/>
    <w:rsid w:val="003D0915"/>
    <w:rsid w:val="003D35C9"/>
    <w:rsid w:val="003F1E9A"/>
    <w:rsid w:val="004472C7"/>
    <w:rsid w:val="004649A4"/>
    <w:rsid w:val="004A236F"/>
    <w:rsid w:val="004A5827"/>
    <w:rsid w:val="004B1564"/>
    <w:rsid w:val="00500045"/>
    <w:rsid w:val="005024FF"/>
    <w:rsid w:val="005669A1"/>
    <w:rsid w:val="0058348D"/>
    <w:rsid w:val="006569DE"/>
    <w:rsid w:val="00691A84"/>
    <w:rsid w:val="006A6BE1"/>
    <w:rsid w:val="006F328F"/>
    <w:rsid w:val="00733426"/>
    <w:rsid w:val="00750E00"/>
    <w:rsid w:val="008036D8"/>
    <w:rsid w:val="00815929"/>
    <w:rsid w:val="008250A1"/>
    <w:rsid w:val="008816E8"/>
    <w:rsid w:val="00945B3E"/>
    <w:rsid w:val="00966988"/>
    <w:rsid w:val="009A61BC"/>
    <w:rsid w:val="009B55B2"/>
    <w:rsid w:val="009E5C1A"/>
    <w:rsid w:val="009F4663"/>
    <w:rsid w:val="00A764B7"/>
    <w:rsid w:val="00AA5CCB"/>
    <w:rsid w:val="00AC2D87"/>
    <w:rsid w:val="00AF0D81"/>
    <w:rsid w:val="00B40992"/>
    <w:rsid w:val="00B92E35"/>
    <w:rsid w:val="00BD7637"/>
    <w:rsid w:val="00BE6CA0"/>
    <w:rsid w:val="00C138EC"/>
    <w:rsid w:val="00C24670"/>
    <w:rsid w:val="00C532ED"/>
    <w:rsid w:val="00CB05BC"/>
    <w:rsid w:val="00CC5268"/>
    <w:rsid w:val="00D05FCC"/>
    <w:rsid w:val="00D13CAD"/>
    <w:rsid w:val="00DA5CDC"/>
    <w:rsid w:val="00F074A5"/>
    <w:rsid w:val="00F4752C"/>
    <w:rsid w:val="00FA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 w:type="paragraph" w:styleId="Plattetekst">
    <w:name w:val="Body Text"/>
    <w:basedOn w:val="Standaard"/>
    <w:link w:val="PlattetekstChar"/>
    <w:semiHidden/>
    <w:rsid w:val="00D05FCC"/>
    <w:pPr>
      <w:spacing w:before="0" w:after="0" w:line="240" w:lineRule="auto"/>
      <w:jc w:val="both"/>
    </w:pPr>
    <w:rPr>
      <w:rFonts w:ascii="Times New Roman" w:eastAsia="Times New Roman" w:hAnsi="Times New Roman" w:cs="Times New Roman"/>
      <w:color w:val="auto"/>
      <w:sz w:val="24"/>
      <w:lang w:eastAsia="nl-NL" w:bidi="ar-SA"/>
    </w:rPr>
  </w:style>
  <w:style w:type="character" w:customStyle="1" w:styleId="PlattetekstChar">
    <w:name w:val="Platte tekst Char"/>
    <w:basedOn w:val="Standaardalinea-lettertype"/>
    <w:link w:val="Plattetekst"/>
    <w:semiHidden/>
    <w:rsid w:val="00D05FCC"/>
    <w:rPr>
      <w:rFonts w:ascii="Times New Roman" w:eastAsia="Times New Roman" w:hAnsi="Times New Roman" w:cs="Times New Roman"/>
      <w:color w:val="auto"/>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850224">
      <w:bodyDiv w:val="1"/>
      <w:marLeft w:val="0"/>
      <w:marRight w:val="0"/>
      <w:marTop w:val="0"/>
      <w:marBottom w:val="0"/>
      <w:divBdr>
        <w:top w:val="none" w:sz="0" w:space="0" w:color="auto"/>
        <w:left w:val="none" w:sz="0" w:space="0" w:color="auto"/>
        <w:bottom w:val="none" w:sz="0" w:space="0" w:color="auto"/>
        <w:right w:val="none" w:sz="0" w:space="0" w:color="auto"/>
      </w:divBdr>
    </w:div>
    <w:div w:id="15504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21489D06AD014A81B1860990047872" ma:contentTypeVersion="4" ma:contentTypeDescription="Create a new document." ma:contentTypeScope="" ma:versionID="0071b23248c3e4918c8d60756e845f92">
  <xsd:schema xmlns:xsd="http://www.w3.org/2001/XMLSchema" xmlns:xs="http://www.w3.org/2001/XMLSchema" xmlns:p="http://schemas.microsoft.com/office/2006/metadata/properties" xmlns:ns2="cc0358a4-ccfb-4f83-855d-40ccd354966d" targetNamespace="http://schemas.microsoft.com/office/2006/metadata/properties" ma:root="true" ma:fieldsID="14b1ff71bc34958b99545f965ef1a25c" ns2:_="">
    <xsd:import namespace="cc0358a4-ccfb-4f83-855d-40ccd3549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358a4-ccfb-4f83-855d-40ccd3549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customXml/itemProps2.xml><?xml version="1.0" encoding="utf-8"?>
<ds:datastoreItem xmlns:ds="http://schemas.openxmlformats.org/officeDocument/2006/customXml" ds:itemID="{49DB6D92-4EE8-4BCC-BB6D-178820D04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358a4-ccfb-4f83-855d-40ccd3549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47C4-ED77-4F5F-BABA-5B26BA70F0FD}">
  <ds:schemaRefs>
    <ds:schemaRef ds:uri="http://schemas.microsoft.com/sharepoint/v3/contenttype/forms"/>
  </ds:schemaRefs>
</ds:datastoreItem>
</file>

<file path=customXml/itemProps4.xml><?xml version="1.0" encoding="utf-8"?>
<ds:datastoreItem xmlns:ds="http://schemas.openxmlformats.org/officeDocument/2006/customXml" ds:itemID="{D425F1A9-9E5D-4AF0-ABFE-47DF7A64C2C1}">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cc0358a4-ccfb-4f83-855d-40ccd35496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Opmaak_document (3)</Template>
  <TotalTime>1</TotalTime>
  <Pages>2</Pages>
  <Words>600</Words>
  <Characters>3302</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Julie Vervaeke</cp:lastModifiedBy>
  <cp:revision>2</cp:revision>
  <cp:lastPrinted>2023-12-12T13:51:00Z</cp:lastPrinted>
  <dcterms:created xsi:type="dcterms:W3CDTF">2025-02-07T12:39:00Z</dcterms:created>
  <dcterms:modified xsi:type="dcterms:W3CDTF">2025-02-07T12:39:00Z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0x0101002A21489D06AD014A81B1860990047872</vt:lpwstr>
  </property>
</Properties>
</file>